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0A3F7C">
        <w:rPr>
          <w:rFonts w:ascii="Arial" w:eastAsia="Trebuchet MS" w:hAnsi="Arial" w:cs="Arial"/>
          <w:b/>
          <w:color w:val="000000"/>
          <w:sz w:val="20"/>
          <w:szCs w:val="20"/>
        </w:rPr>
        <w:t>DE SECURISATION : IMPLANTATION DE GRILLES – PHASE 5</w:t>
      </w:r>
      <w:r w:rsidR="002311C3"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</w:p>
    <w:p w:rsidR="002311C3" w:rsidRDefault="000A3F7C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>7-HGM-15090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Numéro de procédure 25- GHTA-00</w:t>
      </w:r>
      <w:r w:rsidR="000A3F7C">
        <w:rPr>
          <w:rFonts w:ascii="Arial" w:eastAsia="Trebuchet MS" w:hAnsi="Arial" w:cs="Arial"/>
          <w:b/>
          <w:color w:val="000000"/>
          <w:sz w:val="20"/>
          <w:szCs w:val="20"/>
        </w:rPr>
        <w:t>94</w:t>
      </w:r>
      <w:bookmarkStart w:id="0" w:name="_GoBack"/>
      <w:bookmarkEnd w:id="0"/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685454">
        <w:rPr>
          <w:rFonts w:ascii="Calibri" w:hAnsi="Calibri" w:cs="Calibri"/>
          <w:b/>
          <w:caps/>
          <w:u w:val="single"/>
        </w:rPr>
        <w:t>OBLIGATOIRE</w:t>
      </w: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685454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685454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A3F7C"/>
    <w:rsid w:val="000D2ECF"/>
    <w:rsid w:val="00113C68"/>
    <w:rsid w:val="00114920"/>
    <w:rsid w:val="00147B15"/>
    <w:rsid w:val="00156F64"/>
    <w:rsid w:val="0016690F"/>
    <w:rsid w:val="00167B79"/>
    <w:rsid w:val="0017579F"/>
    <w:rsid w:val="0018711B"/>
    <w:rsid w:val="001943FF"/>
    <w:rsid w:val="002007A9"/>
    <w:rsid w:val="002311C3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90BE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85454"/>
    <w:rsid w:val="006B3185"/>
    <w:rsid w:val="006C72FE"/>
    <w:rsid w:val="006E0A71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AF76D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11</TotalTime>
  <Pages>1</Pages>
  <Words>83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16</cp:revision>
  <cp:lastPrinted>2014-10-20T12:18:00Z</cp:lastPrinted>
  <dcterms:created xsi:type="dcterms:W3CDTF">2024-04-10T12:22:00Z</dcterms:created>
  <dcterms:modified xsi:type="dcterms:W3CDTF">2025-10-13T13:54:00Z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